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D40DB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638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</w:t>
      </w:r>
      <w:r w:rsidR="00AF4D79">
        <w:rPr>
          <w:sz w:val="26"/>
          <w:szCs w:val="26"/>
        </w:rPr>
        <w:t>о</w:t>
      </w:r>
      <w:r w:rsidR="00AC39C5">
        <w:rPr>
          <w:sz w:val="26"/>
          <w:szCs w:val="26"/>
        </w:rPr>
        <w:t>т</w:t>
      </w:r>
      <w:r w:rsidR="005B255B">
        <w:rPr>
          <w:sz w:val="26"/>
          <w:szCs w:val="26"/>
        </w:rPr>
        <w:t xml:space="preserve"> </w:t>
      </w:r>
      <w:r w:rsidR="00843735" w:rsidRPr="00843735">
        <w:rPr>
          <w:sz w:val="26"/>
          <w:szCs w:val="26"/>
          <w:u w:val="single"/>
        </w:rPr>
        <w:t>06.05.2026</w:t>
      </w:r>
      <w:r w:rsidR="00843735">
        <w:rPr>
          <w:sz w:val="26"/>
          <w:szCs w:val="26"/>
        </w:rPr>
        <w:t xml:space="preserve"> </w:t>
      </w:r>
      <w:r w:rsidR="00AC39C5" w:rsidRPr="00CF49EF">
        <w:rPr>
          <w:sz w:val="26"/>
          <w:szCs w:val="26"/>
        </w:rPr>
        <w:t>№</w:t>
      </w:r>
      <w:r w:rsidR="005B255B">
        <w:rPr>
          <w:sz w:val="26"/>
          <w:szCs w:val="26"/>
        </w:rPr>
        <w:t xml:space="preserve"> </w:t>
      </w:r>
      <w:r w:rsidR="00843735" w:rsidRPr="00843735">
        <w:rPr>
          <w:sz w:val="26"/>
          <w:szCs w:val="26"/>
          <w:u w:val="single"/>
        </w:rPr>
        <w:t>364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4238A5" w:rsidRPr="0095373B" w:rsidRDefault="004238A5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DA7C39" w:rsidRPr="00282F13" w:rsidRDefault="00E323A2" w:rsidP="00C44410">
      <w:pPr>
        <w:jc w:val="center"/>
        <w:rPr>
          <w:color w:val="000000"/>
        </w:rPr>
      </w:pPr>
      <w:r w:rsidRPr="00FD5F68">
        <w:rPr>
          <w:b/>
          <w:sz w:val="28"/>
          <w:szCs w:val="28"/>
        </w:rPr>
        <w:t>Об утверждении П</w:t>
      </w:r>
      <w:r w:rsidR="00C44410">
        <w:rPr>
          <w:b/>
          <w:sz w:val="28"/>
          <w:szCs w:val="28"/>
        </w:rPr>
        <w:t>орядка</w:t>
      </w:r>
      <w:r w:rsidRPr="00FD5F68">
        <w:rPr>
          <w:b/>
          <w:sz w:val="28"/>
          <w:szCs w:val="28"/>
        </w:rPr>
        <w:t xml:space="preserve"> </w:t>
      </w:r>
      <w:r w:rsidR="00C44410">
        <w:rPr>
          <w:b/>
          <w:sz w:val="28"/>
          <w:szCs w:val="28"/>
        </w:rPr>
        <w:t>принятия решений о предоставлении получателю средств</w:t>
      </w:r>
      <w:r w:rsidRPr="00FD5F68">
        <w:rPr>
          <w:b/>
          <w:sz w:val="28"/>
          <w:szCs w:val="28"/>
        </w:rPr>
        <w:t xml:space="preserve"> </w:t>
      </w:r>
      <w:r w:rsidR="00C44410">
        <w:rPr>
          <w:b/>
          <w:sz w:val="28"/>
          <w:szCs w:val="28"/>
        </w:rPr>
        <w:t>бюджета</w:t>
      </w:r>
      <w:r w:rsidR="00C44410">
        <w:rPr>
          <w:b/>
          <w:bCs/>
          <w:color w:val="000000"/>
          <w:spacing w:val="3"/>
          <w:sz w:val="28"/>
          <w:szCs w:val="28"/>
        </w:rPr>
        <w:t xml:space="preserve"> </w:t>
      </w:r>
      <w:r w:rsidR="00DA7C39">
        <w:rPr>
          <w:b/>
          <w:bCs/>
          <w:color w:val="000000"/>
          <w:spacing w:val="3"/>
          <w:sz w:val="28"/>
          <w:szCs w:val="28"/>
        </w:rPr>
        <w:t xml:space="preserve">муниципального округа Навашинский </w:t>
      </w:r>
      <w:r w:rsidR="00C44410">
        <w:rPr>
          <w:b/>
          <w:bCs/>
          <w:color w:val="000000"/>
          <w:spacing w:val="3"/>
          <w:sz w:val="28"/>
          <w:szCs w:val="28"/>
        </w:rPr>
        <w:t xml:space="preserve">права принимать за счет средств </w:t>
      </w:r>
      <w:r w:rsidR="00C44410">
        <w:rPr>
          <w:b/>
          <w:sz w:val="28"/>
          <w:szCs w:val="28"/>
        </w:rPr>
        <w:t>бюджета</w:t>
      </w:r>
      <w:r w:rsidR="00C44410">
        <w:rPr>
          <w:b/>
          <w:bCs/>
          <w:color w:val="000000"/>
          <w:spacing w:val="3"/>
          <w:sz w:val="28"/>
          <w:szCs w:val="28"/>
        </w:rPr>
        <w:t xml:space="preserve"> муниципального округа Навашинский расходные обязательства на срок, превышающий срок действия утвержденных лимитов бюджетных обязательств</w:t>
      </w:r>
    </w:p>
    <w:p w:rsidR="00DA7C39" w:rsidRDefault="00DA7C3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D79" w:rsidRDefault="00AF4D7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238A5" w:rsidRPr="00AF4D79" w:rsidRDefault="004238A5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A7C39" w:rsidRPr="00282F13" w:rsidRDefault="00E323A2" w:rsidP="00DA7C3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3A2">
        <w:rPr>
          <w:rFonts w:ascii="Times New Roman" w:hAnsi="Times New Roman" w:cs="Times New Roman"/>
          <w:bCs/>
          <w:sz w:val="28"/>
          <w:szCs w:val="28"/>
        </w:rPr>
        <w:t>В соответствии со стать</w:t>
      </w:r>
      <w:r w:rsidR="00C44410">
        <w:rPr>
          <w:rFonts w:ascii="Times New Roman" w:hAnsi="Times New Roman" w:cs="Times New Roman"/>
          <w:bCs/>
          <w:sz w:val="28"/>
          <w:szCs w:val="28"/>
        </w:rPr>
        <w:t>ями 72, 78, 78.1</w:t>
      </w:r>
      <w:r w:rsidR="00AE5A3F">
        <w:rPr>
          <w:rFonts w:ascii="Times New Roman" w:hAnsi="Times New Roman" w:cs="Times New Roman"/>
          <w:bCs/>
          <w:sz w:val="28"/>
          <w:szCs w:val="28"/>
        </w:rPr>
        <w:t xml:space="preserve">, 78.2. </w:t>
      </w:r>
      <w:hyperlink r:id="rId8" w:history="1"/>
      <w:r w:rsidRPr="00E323A2">
        <w:rPr>
          <w:rFonts w:ascii="Times New Roman" w:hAnsi="Times New Roman" w:cs="Times New Roman"/>
          <w:bCs/>
          <w:sz w:val="28"/>
          <w:szCs w:val="28"/>
        </w:rPr>
        <w:t>Бюджетног</w:t>
      </w:r>
      <w:r w:rsidR="00C44410">
        <w:rPr>
          <w:rFonts w:ascii="Times New Roman" w:hAnsi="Times New Roman" w:cs="Times New Roman"/>
          <w:bCs/>
          <w:sz w:val="28"/>
          <w:szCs w:val="28"/>
        </w:rPr>
        <w:t xml:space="preserve">о кодекса Российской Федерации </w:t>
      </w:r>
      <w:r w:rsidR="00DA7C39" w:rsidRPr="00282F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161A4">
        <w:rPr>
          <w:rFonts w:ascii="Times New Roman" w:hAnsi="Times New Roman" w:cs="Times New Roman"/>
          <w:sz w:val="28"/>
          <w:szCs w:val="28"/>
        </w:rPr>
        <w:t>муниципальн</w:t>
      </w:r>
      <w:r w:rsidR="00DA7C39" w:rsidRPr="00282F13">
        <w:rPr>
          <w:rFonts w:ascii="Times New Roman" w:hAnsi="Times New Roman" w:cs="Times New Roman"/>
          <w:sz w:val="28"/>
          <w:szCs w:val="28"/>
        </w:rPr>
        <w:t>ого округа Навашинский</w:t>
      </w:r>
      <w:r w:rsidR="00555930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proofErr w:type="gramStart"/>
      <w:r w:rsidR="00DA7C39" w:rsidRPr="00282F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A7C39" w:rsidRPr="00282F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A7C39" w:rsidRPr="00DC23FF" w:rsidRDefault="00DA7C39" w:rsidP="00DA7C39">
      <w:pPr>
        <w:shd w:val="clear" w:color="auto" w:fill="FFFFFF"/>
        <w:ind w:firstLine="709"/>
        <w:jc w:val="both"/>
        <w:rPr>
          <w:color w:val="000000"/>
        </w:rPr>
      </w:pPr>
      <w:r w:rsidRPr="007A42C3">
        <w:rPr>
          <w:color w:val="000000"/>
          <w:sz w:val="28"/>
          <w:szCs w:val="28"/>
        </w:rPr>
        <w:t>1.</w:t>
      </w:r>
      <w:r w:rsidR="00AF4D79">
        <w:rPr>
          <w:color w:val="000000"/>
          <w:sz w:val="28"/>
          <w:szCs w:val="28"/>
        </w:rPr>
        <w:t> </w:t>
      </w:r>
      <w:r w:rsidRPr="007A42C3">
        <w:rPr>
          <w:color w:val="000000"/>
          <w:sz w:val="28"/>
          <w:szCs w:val="28"/>
        </w:rPr>
        <w:t>Утвердить прилагаемы</w:t>
      </w:r>
      <w:r w:rsidR="00C44410">
        <w:rPr>
          <w:color w:val="000000"/>
          <w:sz w:val="28"/>
          <w:szCs w:val="28"/>
        </w:rPr>
        <w:t>й</w:t>
      </w:r>
      <w:r w:rsidRPr="007A42C3">
        <w:rPr>
          <w:color w:val="000000"/>
          <w:sz w:val="28"/>
          <w:szCs w:val="28"/>
        </w:rPr>
        <w:t xml:space="preserve"> </w:t>
      </w:r>
      <w:r w:rsidR="00E323A2" w:rsidRPr="00064BF7">
        <w:rPr>
          <w:sz w:val="28"/>
          <w:szCs w:val="28"/>
        </w:rPr>
        <w:t>П</w:t>
      </w:r>
      <w:r w:rsidR="00C44410">
        <w:rPr>
          <w:sz w:val="28"/>
          <w:szCs w:val="28"/>
        </w:rPr>
        <w:t>орядок</w:t>
      </w:r>
      <w:r w:rsidR="00E323A2" w:rsidRPr="00064BF7">
        <w:rPr>
          <w:sz w:val="28"/>
          <w:szCs w:val="28"/>
        </w:rPr>
        <w:t xml:space="preserve"> </w:t>
      </w:r>
      <w:r w:rsidR="00C44410" w:rsidRPr="00C44410">
        <w:rPr>
          <w:sz w:val="28"/>
          <w:szCs w:val="28"/>
        </w:rPr>
        <w:t>принятия решений о предоставлении получателю средств бюджета</w:t>
      </w:r>
      <w:r w:rsidR="00C44410" w:rsidRPr="00C44410">
        <w:rPr>
          <w:bCs/>
          <w:color w:val="000000"/>
          <w:spacing w:val="3"/>
          <w:sz w:val="28"/>
          <w:szCs w:val="28"/>
        </w:rPr>
        <w:t xml:space="preserve"> муниципального округа Навашинский права принимать за счет средств </w:t>
      </w:r>
      <w:r w:rsidR="00C44410" w:rsidRPr="00C44410">
        <w:rPr>
          <w:sz w:val="28"/>
          <w:szCs w:val="28"/>
        </w:rPr>
        <w:t>бюджета</w:t>
      </w:r>
      <w:r w:rsidR="00C44410" w:rsidRPr="00C44410">
        <w:rPr>
          <w:bCs/>
          <w:color w:val="000000"/>
          <w:spacing w:val="3"/>
          <w:sz w:val="28"/>
          <w:szCs w:val="28"/>
        </w:rPr>
        <w:t xml:space="preserve"> муниципального округа Навашинский расходные обязательства на срок, превышающий срок действия утвержденных лимитов бюджетных обязательств</w:t>
      </w:r>
      <w:r w:rsidRPr="00C44410">
        <w:rPr>
          <w:color w:val="000000"/>
          <w:spacing w:val="3"/>
          <w:sz w:val="28"/>
          <w:szCs w:val="28"/>
        </w:rPr>
        <w:t>.</w:t>
      </w:r>
    </w:p>
    <w:p w:rsidR="0095373B" w:rsidRPr="00822DA8" w:rsidRDefault="00C44410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73B" w:rsidRPr="00822DA8">
        <w:rPr>
          <w:rFonts w:ascii="Times New Roman" w:hAnsi="Times New Roman" w:cs="Times New Roman"/>
          <w:sz w:val="28"/>
          <w:szCs w:val="28"/>
        </w:rPr>
        <w:t xml:space="preserve">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C44410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5373B" w:rsidRPr="00822DA8">
        <w:rPr>
          <w:rFonts w:ascii="Times New Roman" w:hAnsi="Times New Roman"/>
          <w:sz w:val="28"/>
          <w:szCs w:val="28"/>
        </w:rPr>
        <w:t>. </w:t>
      </w:r>
      <w:proofErr w:type="gramStart"/>
      <w:r w:rsidR="0095373B"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5373B"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="0095373B"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373B">
        <w:rPr>
          <w:rFonts w:ascii="Times New Roman" w:hAnsi="Times New Roman"/>
          <w:sz w:val="28"/>
          <w:szCs w:val="28"/>
        </w:rPr>
        <w:t>Е.Н.Бойкову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>.</w:t>
      </w:r>
    </w:p>
    <w:p w:rsidR="0095373B" w:rsidRDefault="0095373B" w:rsidP="0095373B">
      <w:pPr>
        <w:jc w:val="both"/>
        <w:rPr>
          <w:sz w:val="28"/>
          <w:szCs w:val="28"/>
        </w:rPr>
      </w:pPr>
    </w:p>
    <w:p w:rsidR="00E323A2" w:rsidRDefault="00E323A2" w:rsidP="0095373B">
      <w:pPr>
        <w:jc w:val="both"/>
        <w:rPr>
          <w:sz w:val="28"/>
          <w:szCs w:val="28"/>
        </w:rPr>
      </w:pPr>
    </w:p>
    <w:p w:rsidR="00E323A2" w:rsidRPr="00822DA8" w:rsidRDefault="00E323A2" w:rsidP="0095373B">
      <w:pPr>
        <w:jc w:val="both"/>
        <w:rPr>
          <w:sz w:val="28"/>
          <w:szCs w:val="28"/>
        </w:rPr>
      </w:pPr>
    </w:p>
    <w:p w:rsidR="00BA4EEA" w:rsidRDefault="0095373B" w:rsidP="0095373B">
      <w:pPr>
        <w:jc w:val="both"/>
        <w:rPr>
          <w:sz w:val="28"/>
          <w:szCs w:val="28"/>
        </w:rPr>
        <w:sectPr w:rsidR="00BA4EEA" w:rsidSect="00DC23FF">
          <w:pgSz w:w="11906" w:h="16838"/>
          <w:pgMar w:top="1021" w:right="567" w:bottom="1021" w:left="1134" w:header="709" w:footer="709" w:gutter="0"/>
          <w:cols w:space="708"/>
          <w:docGrid w:linePitch="360"/>
        </w:sect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8470AE" w:rsidRPr="00555930" w:rsidRDefault="008470AE" w:rsidP="0076489F">
      <w:pPr>
        <w:pStyle w:val="ConsPlusNormal"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70AE" w:rsidRPr="00555930" w:rsidRDefault="00555930" w:rsidP="00555930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bookmarkStart w:id="8" w:name="_GoBack"/>
      <w:bookmarkEnd w:id="8"/>
      <w:r w:rsidR="008470AE" w:rsidRPr="00555930">
        <w:rPr>
          <w:rFonts w:ascii="Times New Roman" w:hAnsi="Times New Roman" w:cs="Times New Roman"/>
          <w:sz w:val="28"/>
          <w:szCs w:val="28"/>
        </w:rPr>
        <w:t>Навашинский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930">
        <w:rPr>
          <w:rFonts w:ascii="Times New Roman" w:hAnsi="Times New Roman" w:cs="Times New Roman"/>
          <w:sz w:val="28"/>
          <w:szCs w:val="28"/>
        </w:rPr>
        <w:t xml:space="preserve">от </w:t>
      </w:r>
      <w:r w:rsidR="00843735" w:rsidRPr="00843735">
        <w:rPr>
          <w:rFonts w:ascii="Times New Roman" w:hAnsi="Times New Roman" w:cs="Times New Roman"/>
          <w:sz w:val="28"/>
          <w:szCs w:val="28"/>
          <w:u w:val="single"/>
        </w:rPr>
        <w:t>06.05.2026</w:t>
      </w:r>
      <w:r w:rsidR="00843735">
        <w:rPr>
          <w:rFonts w:ascii="Times New Roman" w:hAnsi="Times New Roman" w:cs="Times New Roman"/>
          <w:sz w:val="28"/>
          <w:szCs w:val="28"/>
        </w:rPr>
        <w:t xml:space="preserve"> </w:t>
      </w:r>
      <w:r w:rsidRPr="00555930">
        <w:rPr>
          <w:rFonts w:ascii="Times New Roman" w:hAnsi="Times New Roman" w:cs="Times New Roman"/>
          <w:sz w:val="28"/>
          <w:szCs w:val="28"/>
        </w:rPr>
        <w:t>№</w:t>
      </w:r>
      <w:r w:rsidRPr="008437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3735" w:rsidRPr="00843735">
        <w:rPr>
          <w:rFonts w:ascii="Times New Roman" w:hAnsi="Times New Roman" w:cs="Times New Roman"/>
          <w:sz w:val="28"/>
          <w:szCs w:val="28"/>
          <w:u w:val="single"/>
        </w:rPr>
        <w:t>364</w:t>
      </w:r>
    </w:p>
    <w:p w:rsidR="0076489F" w:rsidRPr="00AF4D79" w:rsidRDefault="0076489F" w:rsidP="008470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930" w:rsidRDefault="00555930" w:rsidP="008161A4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9" w:name="Par82"/>
      <w:bookmarkEnd w:id="9"/>
    </w:p>
    <w:p w:rsidR="00E323A2" w:rsidRDefault="00E323A2" w:rsidP="00E323A2">
      <w:pPr>
        <w:jc w:val="center"/>
        <w:rPr>
          <w:b/>
          <w:sz w:val="28"/>
          <w:szCs w:val="28"/>
        </w:rPr>
      </w:pPr>
      <w:r w:rsidRPr="00064BF7">
        <w:rPr>
          <w:b/>
          <w:sz w:val="28"/>
          <w:szCs w:val="28"/>
        </w:rPr>
        <w:t xml:space="preserve">Порядок </w:t>
      </w:r>
      <w:r w:rsidR="00C44410">
        <w:rPr>
          <w:b/>
          <w:sz w:val="28"/>
          <w:szCs w:val="28"/>
        </w:rPr>
        <w:t>принятия решений о предоставлении получателю средств</w:t>
      </w:r>
      <w:r w:rsidR="00C44410" w:rsidRPr="00FD5F68">
        <w:rPr>
          <w:b/>
          <w:sz w:val="28"/>
          <w:szCs w:val="28"/>
        </w:rPr>
        <w:t xml:space="preserve"> </w:t>
      </w:r>
      <w:r w:rsidR="00C44410">
        <w:rPr>
          <w:b/>
          <w:sz w:val="28"/>
          <w:szCs w:val="28"/>
        </w:rPr>
        <w:t>бюджета</w:t>
      </w:r>
      <w:r w:rsidR="00C44410">
        <w:rPr>
          <w:b/>
          <w:bCs/>
          <w:color w:val="000000"/>
          <w:spacing w:val="3"/>
          <w:sz w:val="28"/>
          <w:szCs w:val="28"/>
        </w:rPr>
        <w:t xml:space="preserve"> муниципального округа Навашинский права принимать за счет средств </w:t>
      </w:r>
      <w:r w:rsidR="00C44410">
        <w:rPr>
          <w:b/>
          <w:sz w:val="28"/>
          <w:szCs w:val="28"/>
        </w:rPr>
        <w:t>бюджета</w:t>
      </w:r>
      <w:r w:rsidR="00C44410">
        <w:rPr>
          <w:b/>
          <w:bCs/>
          <w:color w:val="000000"/>
          <w:spacing w:val="3"/>
          <w:sz w:val="28"/>
          <w:szCs w:val="28"/>
        </w:rPr>
        <w:t xml:space="preserve"> муниципального округа Навашинский расходные обязательства на срок, превышающий срок действия утвержденных лимитов бюджетных обязательств</w:t>
      </w:r>
    </w:p>
    <w:p w:rsidR="00E323A2" w:rsidRDefault="00E323A2" w:rsidP="00E3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Порядок)</w:t>
      </w:r>
    </w:p>
    <w:p w:rsidR="00E323A2" w:rsidRDefault="00E323A2" w:rsidP="00E323A2">
      <w:pPr>
        <w:jc w:val="center"/>
        <w:rPr>
          <w:b/>
          <w:sz w:val="28"/>
          <w:szCs w:val="28"/>
        </w:rPr>
      </w:pPr>
    </w:p>
    <w:p w:rsidR="00E323A2" w:rsidRPr="006C494D" w:rsidRDefault="00E323A2" w:rsidP="00E323A2">
      <w:pPr>
        <w:jc w:val="center"/>
        <w:rPr>
          <w:b/>
          <w:sz w:val="28"/>
          <w:szCs w:val="28"/>
        </w:rPr>
      </w:pPr>
    </w:p>
    <w:p w:rsidR="00E323A2" w:rsidRPr="006C494D" w:rsidRDefault="00E323A2" w:rsidP="00E323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23A2" w:rsidRPr="006C494D" w:rsidRDefault="00E323A2" w:rsidP="00E3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Default="009B6726" w:rsidP="009B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E323A2" w:rsidRPr="006C494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</w:t>
      </w:r>
      <w:r w:rsidR="00E406DA">
        <w:rPr>
          <w:rFonts w:ascii="Times New Roman" w:hAnsi="Times New Roman" w:cs="Times New Roman"/>
          <w:sz w:val="28"/>
          <w:szCs w:val="28"/>
        </w:rPr>
        <w:t>принятия Администрацией муниципального округа Навашинский в форме правового акта решения о предоставлении получателю средств</w:t>
      </w:r>
      <w:r w:rsidR="00E466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323A2" w:rsidRPr="006C494D">
        <w:rPr>
          <w:rFonts w:ascii="Times New Roman" w:hAnsi="Times New Roman" w:cs="Times New Roman"/>
          <w:sz w:val="28"/>
          <w:szCs w:val="28"/>
        </w:rPr>
        <w:t xml:space="preserve"> </w:t>
      </w:r>
      <w:r w:rsidR="00E323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323A2" w:rsidRPr="006C494D">
        <w:rPr>
          <w:rFonts w:ascii="Times New Roman" w:hAnsi="Times New Roman" w:cs="Times New Roman"/>
          <w:sz w:val="28"/>
          <w:szCs w:val="28"/>
        </w:rPr>
        <w:t>Н</w:t>
      </w:r>
      <w:r w:rsidR="00E323A2">
        <w:rPr>
          <w:rFonts w:ascii="Times New Roman" w:hAnsi="Times New Roman" w:cs="Times New Roman"/>
          <w:sz w:val="28"/>
          <w:szCs w:val="28"/>
        </w:rPr>
        <w:t>авашинский</w:t>
      </w:r>
      <w:r w:rsidR="00E466B0">
        <w:rPr>
          <w:rFonts w:ascii="Times New Roman" w:hAnsi="Times New Roman" w:cs="Times New Roman"/>
          <w:sz w:val="28"/>
          <w:szCs w:val="28"/>
        </w:rPr>
        <w:t xml:space="preserve"> (далее – бюджет округа) права принимать за счет средств бюджета округа расходные обязательства муниципального округа Навашинский на срок,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в случаях, установленных Бюджетным кодексом Российской Федерации (далее – Бюджетный кодекс), </w:t>
      </w:r>
      <w:r w:rsidR="00E466B0">
        <w:rPr>
          <w:rFonts w:ascii="Times New Roman" w:hAnsi="Times New Roman" w:cs="Times New Roman"/>
          <w:sz w:val="28"/>
          <w:szCs w:val="28"/>
        </w:rPr>
        <w:t>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 путем заключения от имени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Навашинский:</w:t>
      </w:r>
    </w:p>
    <w:p w:rsidR="009B6726" w:rsidRPr="009B6726" w:rsidRDefault="009B6726" w:rsidP="009B6726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9B6726">
        <w:rPr>
          <w:sz w:val="28"/>
          <w:szCs w:val="28"/>
        </w:rPr>
        <w:t>а) муниципальных контрактов, предметом которых является выполнение работ, оказание услуг для обеспечения муниципальных нужд, длительность производственного цикла выполнения, оказания которых превышает срок действия утвержденных лимитов бюджетных обязательств, а также муниципальных контрактов, предметом которых является поставка товаров для обеспечения муниципальных нужд, на срок, превышающий срок действия утвержденных лимитов бюджетных обязательств, условиями которых предусмотрены встречные обязательства, не связанные с предметом их исполнения</w:t>
      </w:r>
      <w:proofErr w:type="gramEnd"/>
      <w:r w:rsidRPr="009B6726">
        <w:rPr>
          <w:sz w:val="28"/>
          <w:szCs w:val="28"/>
        </w:rPr>
        <w:t>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на основании статьи 72 Бюджетного кодекса (далее - муниципальные контракты);</w:t>
      </w:r>
    </w:p>
    <w:p w:rsidR="009B6726" w:rsidRPr="009B6726" w:rsidRDefault="009B6726" w:rsidP="004238A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9B6726">
        <w:rPr>
          <w:sz w:val="28"/>
          <w:szCs w:val="28"/>
        </w:rPr>
        <w:t xml:space="preserve">б) соглашений (договоров) о предоставлении субсидии из бюджета округа муниципальным бюджетным или автономным учреждениям в соответствии с </w:t>
      </w:r>
      <w:hyperlink r:id="rId9" w:history="1">
        <w:r w:rsidRPr="009B6726">
          <w:rPr>
            <w:rStyle w:val="a7"/>
            <w:color w:val="auto"/>
            <w:sz w:val="28"/>
            <w:szCs w:val="28"/>
            <w:u w:val="none"/>
          </w:rPr>
          <w:t>абзацем вторым пункта 1 статьи 78.1</w:t>
        </w:r>
      </w:hyperlink>
      <w:r w:rsidRPr="009B6726">
        <w:rPr>
          <w:sz w:val="28"/>
          <w:szCs w:val="28"/>
        </w:rPr>
        <w:t xml:space="preserve"> и </w:t>
      </w:r>
      <w:hyperlink r:id="rId10" w:history="1">
        <w:r w:rsidRPr="009B6726">
          <w:rPr>
            <w:rStyle w:val="a7"/>
            <w:color w:val="auto"/>
            <w:sz w:val="28"/>
            <w:szCs w:val="28"/>
            <w:u w:val="none"/>
          </w:rPr>
          <w:t>статьей 78.2</w:t>
        </w:r>
      </w:hyperlink>
      <w:r w:rsidRPr="009B6726">
        <w:rPr>
          <w:sz w:val="28"/>
          <w:szCs w:val="28"/>
        </w:rPr>
        <w:t xml:space="preserve"> Бюджетного кодекса, муниципальным предприятиям муниципального округа Навашинский в соответствии со </w:t>
      </w:r>
      <w:hyperlink r:id="rId11" w:history="1">
        <w:r w:rsidRPr="009B6726">
          <w:rPr>
            <w:rStyle w:val="a7"/>
            <w:color w:val="auto"/>
            <w:sz w:val="28"/>
            <w:szCs w:val="28"/>
            <w:u w:val="none"/>
          </w:rPr>
          <w:t>статьей 78.2</w:t>
        </w:r>
      </w:hyperlink>
      <w:r w:rsidRPr="009B6726">
        <w:rPr>
          <w:sz w:val="28"/>
          <w:szCs w:val="28"/>
        </w:rPr>
        <w:t xml:space="preserve"> Бюджетного кодекса, а также юридическим лицам, не являющимся учреждениями, в соответствии со </w:t>
      </w:r>
      <w:hyperlink r:id="rId12" w:history="1">
        <w:r w:rsidRPr="009B6726">
          <w:rPr>
            <w:rStyle w:val="a7"/>
            <w:color w:val="auto"/>
            <w:sz w:val="28"/>
            <w:szCs w:val="28"/>
            <w:u w:val="none"/>
          </w:rPr>
          <w:t>статьей 78</w:t>
        </w:r>
      </w:hyperlink>
      <w:r w:rsidRPr="009B6726">
        <w:rPr>
          <w:sz w:val="28"/>
          <w:szCs w:val="28"/>
        </w:rPr>
        <w:t xml:space="preserve">, </w:t>
      </w:r>
      <w:hyperlink r:id="rId13" w:history="1">
        <w:r w:rsidRPr="009B6726">
          <w:rPr>
            <w:rStyle w:val="a7"/>
            <w:color w:val="auto"/>
            <w:sz w:val="28"/>
            <w:szCs w:val="28"/>
            <w:u w:val="none"/>
          </w:rPr>
          <w:t>пунктами 2</w:t>
        </w:r>
      </w:hyperlink>
      <w:r w:rsidRPr="009B6726">
        <w:rPr>
          <w:sz w:val="28"/>
          <w:szCs w:val="28"/>
        </w:rPr>
        <w:t xml:space="preserve"> и </w:t>
      </w:r>
      <w:hyperlink r:id="rId14" w:history="1">
        <w:r w:rsidRPr="009B6726">
          <w:rPr>
            <w:rStyle w:val="a7"/>
            <w:color w:val="auto"/>
            <w:sz w:val="28"/>
            <w:szCs w:val="28"/>
            <w:u w:val="none"/>
          </w:rPr>
          <w:t xml:space="preserve">4 статьи </w:t>
        </w:r>
        <w:r w:rsidRPr="009B6726">
          <w:rPr>
            <w:rStyle w:val="a7"/>
            <w:color w:val="auto"/>
            <w:sz w:val="28"/>
            <w:szCs w:val="28"/>
            <w:u w:val="none"/>
          </w:rPr>
          <w:lastRenderedPageBreak/>
          <w:t>78.1</w:t>
        </w:r>
      </w:hyperlink>
      <w:r w:rsidRPr="009B6726">
        <w:rPr>
          <w:sz w:val="28"/>
          <w:szCs w:val="28"/>
        </w:rPr>
        <w:t xml:space="preserve"> Бюджетного кодекса</w:t>
      </w:r>
      <w:proofErr w:type="gramEnd"/>
      <w:r w:rsidRPr="009B6726">
        <w:rPr>
          <w:sz w:val="28"/>
          <w:szCs w:val="28"/>
        </w:rPr>
        <w:t xml:space="preserve"> (далее соответственно - учреждения, предприятия, иные юридические лица, соглашения (договоры).</w:t>
      </w:r>
    </w:p>
    <w:p w:rsidR="00015EA3" w:rsidRPr="00015EA3" w:rsidRDefault="009B6726" w:rsidP="00015E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EA3">
        <w:rPr>
          <w:sz w:val="28"/>
          <w:szCs w:val="28"/>
        </w:rPr>
        <w:t>1.2</w:t>
      </w:r>
      <w:r w:rsidR="00E323A2" w:rsidRPr="00015EA3">
        <w:rPr>
          <w:sz w:val="28"/>
          <w:szCs w:val="28"/>
        </w:rPr>
        <w:t>. </w:t>
      </w:r>
      <w:r w:rsidR="00015EA3" w:rsidRPr="00015EA3">
        <w:rPr>
          <w:sz w:val="28"/>
          <w:szCs w:val="28"/>
        </w:rPr>
        <w:t xml:space="preserve">Предусмотренные пунктом 1.1 настоящего Порядка решения принимаются в пределах средств и на срок реализации соответствующей муниципальной программы муниципального округа Навашинский (далее - муниципальная программа), а в случае реализации непрограммного направления деятельности - в соответствии с </w:t>
      </w:r>
      <w:hyperlink r:id="rId15" w:history="1">
        <w:r w:rsidR="00015EA3" w:rsidRPr="00B62EA8">
          <w:rPr>
            <w:rStyle w:val="a7"/>
            <w:color w:val="auto"/>
            <w:sz w:val="28"/>
            <w:szCs w:val="28"/>
            <w:u w:val="none"/>
          </w:rPr>
          <w:t>подпунктом в</w:t>
        </w:r>
        <w:r w:rsidR="00B62EA8" w:rsidRPr="00B62EA8">
          <w:rPr>
            <w:rStyle w:val="a7"/>
            <w:color w:val="auto"/>
            <w:sz w:val="28"/>
            <w:szCs w:val="28"/>
            <w:u w:val="none"/>
          </w:rPr>
          <w:t>)</w:t>
        </w:r>
        <w:r w:rsidR="00015EA3" w:rsidRPr="00B62EA8">
          <w:rPr>
            <w:rStyle w:val="a7"/>
            <w:color w:val="auto"/>
            <w:sz w:val="28"/>
            <w:szCs w:val="28"/>
            <w:u w:val="none"/>
          </w:rPr>
          <w:t xml:space="preserve"> пункта 2.3</w:t>
        </w:r>
      </w:hyperlink>
      <w:r w:rsidR="00015EA3" w:rsidRPr="00015EA3">
        <w:rPr>
          <w:sz w:val="28"/>
          <w:szCs w:val="28"/>
        </w:rPr>
        <w:t xml:space="preserve"> настоящего Порядка.</w:t>
      </w:r>
    </w:p>
    <w:p w:rsidR="00015EA3" w:rsidRPr="00015EA3" w:rsidRDefault="00015EA3" w:rsidP="00015E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EA3">
        <w:rPr>
          <w:sz w:val="28"/>
          <w:szCs w:val="28"/>
        </w:rPr>
        <w:t xml:space="preserve">В случае принятия расходных обязательств муниципального округа Навашинский в объеме и на срок, превышающие объем и срок реализации муниципальной программы, такие решения принимаются в пределах средств, определенных в соответствии с </w:t>
      </w:r>
      <w:hyperlink r:id="rId16" w:history="1">
        <w:r w:rsidRPr="00B62EA8">
          <w:rPr>
            <w:rStyle w:val="a7"/>
            <w:color w:val="auto"/>
            <w:sz w:val="28"/>
            <w:szCs w:val="28"/>
            <w:u w:val="none"/>
          </w:rPr>
          <w:t>пунктом 2.3</w:t>
        </w:r>
      </w:hyperlink>
      <w:r w:rsidRPr="00015EA3">
        <w:rPr>
          <w:sz w:val="28"/>
          <w:szCs w:val="28"/>
        </w:rPr>
        <w:t xml:space="preserve"> настоящего Порядка. </w:t>
      </w:r>
    </w:p>
    <w:p w:rsidR="00E323A2" w:rsidRPr="004238A5" w:rsidRDefault="00E323A2" w:rsidP="00015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Pr="00CA2D81" w:rsidRDefault="00E323A2" w:rsidP="00E323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 xml:space="preserve">II. Порядок </w:t>
      </w:r>
      <w:r w:rsidR="00015EA3">
        <w:rPr>
          <w:rFonts w:ascii="Times New Roman" w:hAnsi="Times New Roman" w:cs="Times New Roman"/>
          <w:sz w:val="28"/>
          <w:szCs w:val="28"/>
        </w:rPr>
        <w:t>принятия решений о предоставлении получателю средств бюджета округа права принимать расходные обязательства</w:t>
      </w:r>
      <w:r w:rsidR="00015EA3" w:rsidRPr="00015EA3">
        <w:rPr>
          <w:rFonts w:ascii="Times New Roman" w:hAnsi="Times New Roman" w:cs="Times New Roman"/>
          <w:sz w:val="28"/>
          <w:szCs w:val="28"/>
        </w:rPr>
        <w:t xml:space="preserve"> </w:t>
      </w:r>
      <w:r w:rsidR="00015EA3">
        <w:rPr>
          <w:rFonts w:ascii="Times New Roman" w:hAnsi="Times New Roman" w:cs="Times New Roman"/>
          <w:sz w:val="28"/>
          <w:szCs w:val="28"/>
        </w:rPr>
        <w:t>муниципального округа Навашинский на срок, превышающий срок действия утвержденных лимитов бюджетных обязательств</w:t>
      </w:r>
    </w:p>
    <w:p w:rsidR="00E323A2" w:rsidRPr="00CA2D81" w:rsidRDefault="00E323A2" w:rsidP="00E3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Default="00E323A2" w:rsidP="00B62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50CA6">
        <w:rPr>
          <w:rFonts w:ascii="Times New Roman" w:hAnsi="Times New Roman" w:cs="Times New Roman"/>
          <w:sz w:val="28"/>
          <w:szCs w:val="28"/>
        </w:rPr>
        <w:t>Решения Администрации муниципального округа Навашинский, указанные в пункте 1.1 настоящего Порядка, принимаются в форме распоряжения Администрации муниципального округа Навашинский</w:t>
      </w:r>
      <w:r w:rsidR="008C4058">
        <w:rPr>
          <w:rFonts w:ascii="Times New Roman" w:hAnsi="Times New Roman" w:cs="Times New Roman"/>
          <w:sz w:val="28"/>
          <w:szCs w:val="28"/>
        </w:rPr>
        <w:t xml:space="preserve"> (далее также – Решения)</w:t>
      </w:r>
      <w:r w:rsidRPr="00DC51E6">
        <w:rPr>
          <w:rFonts w:ascii="Times New Roman" w:hAnsi="Times New Roman" w:cs="Times New Roman"/>
          <w:sz w:val="28"/>
          <w:szCs w:val="28"/>
        </w:rPr>
        <w:t>.</w:t>
      </w:r>
    </w:p>
    <w:p w:rsidR="00150CA6" w:rsidRPr="00DC51E6" w:rsidRDefault="00150CA6" w:rsidP="00B62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подготовки</w:t>
      </w:r>
      <w:r w:rsidR="008C4058">
        <w:rPr>
          <w:rFonts w:ascii="Times New Roman" w:hAnsi="Times New Roman" w:cs="Times New Roman"/>
          <w:sz w:val="28"/>
          <w:szCs w:val="28"/>
        </w:rPr>
        <w:t xml:space="preserve"> проектов, указанных в абзаце первом настоящего пункта решений, выступают главные распорядители средств бюджета округа.</w:t>
      </w:r>
    </w:p>
    <w:p w:rsidR="008C4058" w:rsidRPr="008C4058" w:rsidRDefault="00E323A2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1E6">
        <w:rPr>
          <w:sz w:val="28"/>
          <w:szCs w:val="28"/>
        </w:rPr>
        <w:t xml:space="preserve">2.2. </w:t>
      </w:r>
      <w:r w:rsidR="008C4058" w:rsidRPr="008C4058">
        <w:rPr>
          <w:sz w:val="28"/>
          <w:szCs w:val="28"/>
        </w:rPr>
        <w:t>В проекте распоряжения Администрации муниципального округа Навашинский может предусматриваться право принимать расходные обязательства муниципального округа Навашинский на срок, превышающий срок действия утвержденных лимитов бюджетных обязательств, в отношении нескольких муниципальных контрактов, соглашений (договоров).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В проекте Решения должны содержаться наименование муниципальной программы (непрограммного направления деятельности), в рамках которой планируется реализация соответствующего решения, и следующая информация: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а) в отношении каждого муниципального контракта: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муниципальный заказчик муниципального округа Навашинский, заключающий контракт;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наименование объекта закупки;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описание товаров, работ, услуг и планируемые результаты выполнения работ, оказания услуг;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предельный срок выполнения работ, оказания услуг с учетом сроков осуществления закупки;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предмет встречного обязательства и срок его исполнения в случае, если муниципальным контрактом предусмотрены встречные обязательства, не связанные с предметом его исполнения;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>предельный объем средств на оплату муниципального</w:t>
      </w:r>
      <w:r w:rsidR="00B741A3">
        <w:rPr>
          <w:sz w:val="28"/>
          <w:szCs w:val="28"/>
        </w:rPr>
        <w:t xml:space="preserve"> контракта с разбивкой по годам</w:t>
      </w:r>
      <w:r w:rsidRPr="008C4058">
        <w:rPr>
          <w:sz w:val="28"/>
          <w:szCs w:val="28"/>
        </w:rPr>
        <w:t xml:space="preserve">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источник финансового обеспечения;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 xml:space="preserve">б) в отношении каждой субсидии: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lastRenderedPageBreak/>
        <w:t xml:space="preserve">цель предоставления субсидии; 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C4058">
        <w:rPr>
          <w:sz w:val="28"/>
          <w:szCs w:val="28"/>
        </w:rPr>
        <w:t xml:space="preserve">наименования получателей субсидии, в том числе учреждений, предприятий, иных юридических лиц, которым предоставляются субсидии, за исключением случая, если предоставление грантов в форме субсидий, предусмотренных </w:t>
      </w:r>
      <w:hyperlink r:id="rId17" w:history="1">
        <w:r w:rsidRPr="008C4058">
          <w:rPr>
            <w:rStyle w:val="a7"/>
            <w:color w:val="auto"/>
            <w:sz w:val="28"/>
            <w:szCs w:val="28"/>
            <w:u w:val="none"/>
          </w:rPr>
          <w:t>пунктом 7 статьи 78</w:t>
        </w:r>
      </w:hyperlink>
      <w:r w:rsidRPr="008C4058">
        <w:rPr>
          <w:sz w:val="28"/>
          <w:szCs w:val="28"/>
        </w:rPr>
        <w:t xml:space="preserve"> и </w:t>
      </w:r>
      <w:hyperlink r:id="rId18" w:history="1">
        <w:r w:rsidRPr="008C4058">
          <w:rPr>
            <w:rStyle w:val="a7"/>
            <w:color w:val="auto"/>
            <w:sz w:val="28"/>
            <w:szCs w:val="28"/>
            <w:u w:val="none"/>
          </w:rPr>
          <w:t>пунктом 4 статьи 78.1</w:t>
        </w:r>
      </w:hyperlink>
      <w:r w:rsidRPr="008C4058">
        <w:rPr>
          <w:sz w:val="28"/>
          <w:szCs w:val="28"/>
        </w:rPr>
        <w:t xml:space="preserve"> Бюджетного кодекса, и субсидий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  <w:proofErr w:type="gramEnd"/>
      <w:r w:rsidRPr="008C4058">
        <w:rPr>
          <w:sz w:val="28"/>
          <w:szCs w:val="28"/>
        </w:rPr>
        <w:t xml:space="preserve"> в соответствии с </w:t>
      </w:r>
      <w:hyperlink r:id="rId19" w:history="1">
        <w:r w:rsidRPr="008C4058">
          <w:rPr>
            <w:rStyle w:val="a7"/>
            <w:color w:val="auto"/>
            <w:sz w:val="28"/>
            <w:szCs w:val="28"/>
            <w:u w:val="none"/>
          </w:rPr>
          <w:t>пунктом 1 статьи 78</w:t>
        </w:r>
      </w:hyperlink>
      <w:r w:rsidRPr="008C4058">
        <w:rPr>
          <w:sz w:val="28"/>
          <w:szCs w:val="28"/>
        </w:rPr>
        <w:t xml:space="preserve"> Бюджетного кодекса осущес</w:t>
      </w:r>
      <w:r w:rsidR="004238A5">
        <w:rPr>
          <w:sz w:val="28"/>
          <w:szCs w:val="28"/>
        </w:rPr>
        <w:t>твляется по результатам отбора;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>предполагаемый (предельный) размер средств бюджета округа на предоставление субсидии с распределением размера таких средств по</w:t>
      </w:r>
      <w:r w:rsidR="004238A5">
        <w:rPr>
          <w:sz w:val="28"/>
          <w:szCs w:val="28"/>
        </w:rPr>
        <w:t xml:space="preserve"> годам предоставления субсидии;</w:t>
      </w:r>
    </w:p>
    <w:p w:rsidR="008C4058" w:rsidRPr="008C4058" w:rsidRDefault="008C4058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058">
        <w:rPr>
          <w:sz w:val="28"/>
          <w:szCs w:val="28"/>
        </w:rPr>
        <w:t>срок достижения цели (результата) предоставления субсидии</w:t>
      </w:r>
      <w:r w:rsidR="004238A5">
        <w:rPr>
          <w:sz w:val="28"/>
          <w:szCs w:val="28"/>
        </w:rPr>
        <w:t>.</w:t>
      </w:r>
    </w:p>
    <w:p w:rsidR="00AE5A3F" w:rsidRPr="005B2005" w:rsidRDefault="00E323A2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2005">
        <w:rPr>
          <w:sz w:val="28"/>
          <w:szCs w:val="28"/>
        </w:rPr>
        <w:t>2.3. </w:t>
      </w:r>
      <w:r w:rsidR="00AE5A3F" w:rsidRPr="005B2005">
        <w:rPr>
          <w:sz w:val="28"/>
          <w:szCs w:val="28"/>
        </w:rPr>
        <w:t>Инициатор подготовки проекта распоряжения Администрации муниципального округа Навашинский обеспечивает его соответствие следующим требованиям: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B2005">
        <w:rPr>
          <w:sz w:val="28"/>
          <w:szCs w:val="28"/>
        </w:rPr>
        <w:t xml:space="preserve">а) распределение предполагаемого (предельного) размера средств бюджета округа на оплату </w:t>
      </w:r>
      <w:r w:rsidR="009D103A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ного контракта (на предоставление субсидии) в текущем финансовом году и плановом периоде не должно превышать объем соответствующих бюджетных ассигнований, предусмотренных в бюджете</w:t>
      </w:r>
      <w:r w:rsidR="009D103A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 xml:space="preserve"> на текущий финансовый год и плановый период на оплату указанного </w:t>
      </w:r>
      <w:r w:rsidR="009D103A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ного контракта (на предоставление субсидии), а в случае превышения размера указанных бюджетных ассигнований, в том числе в</w:t>
      </w:r>
      <w:proofErr w:type="gramEnd"/>
      <w:r w:rsidRPr="005B2005">
        <w:rPr>
          <w:sz w:val="28"/>
          <w:szCs w:val="28"/>
        </w:rPr>
        <w:t xml:space="preserve"> </w:t>
      </w:r>
      <w:proofErr w:type="gramStart"/>
      <w:r w:rsidRPr="005B2005">
        <w:rPr>
          <w:sz w:val="28"/>
          <w:szCs w:val="28"/>
        </w:rPr>
        <w:t>случае</w:t>
      </w:r>
      <w:proofErr w:type="gramEnd"/>
      <w:r w:rsidRPr="005B2005">
        <w:rPr>
          <w:sz w:val="28"/>
          <w:szCs w:val="28"/>
        </w:rPr>
        <w:t xml:space="preserve"> их отсутствия, - с учетом внесенных в установленном порядке изменений в сводную бюджетную роспись бюджета</w:t>
      </w:r>
      <w:r w:rsidR="009D103A" w:rsidRPr="005B2005">
        <w:rPr>
          <w:sz w:val="28"/>
          <w:szCs w:val="28"/>
        </w:rPr>
        <w:t xml:space="preserve"> округа</w:t>
      </w:r>
      <w:r w:rsidR="004238A5">
        <w:rPr>
          <w:sz w:val="28"/>
          <w:szCs w:val="28"/>
        </w:rPr>
        <w:t>;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p2"/>
      <w:bookmarkEnd w:id="10"/>
      <w:proofErr w:type="gramStart"/>
      <w:r w:rsidRPr="005B2005">
        <w:rPr>
          <w:sz w:val="28"/>
          <w:szCs w:val="28"/>
        </w:rPr>
        <w:t>б) распределение предполагаемого (предельного) размера средств бюджета</w:t>
      </w:r>
      <w:r w:rsidR="006C00BF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 xml:space="preserve"> на оплату </w:t>
      </w:r>
      <w:r w:rsidR="009D103A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ного контракта (на предоставление субсидии) в рамках </w:t>
      </w:r>
      <w:r w:rsidR="009D103A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ной программы не должно превышать за пределами планового периода в пределах срока реализации этой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ной программы параметры ее финансового обеспечения, за пределами срока ее реализации</w:t>
      </w:r>
      <w:r w:rsidR="006C00BF" w:rsidRPr="005B2005">
        <w:rPr>
          <w:sz w:val="28"/>
          <w:szCs w:val="28"/>
        </w:rPr>
        <w:t xml:space="preserve"> </w:t>
      </w:r>
      <w:r w:rsidRPr="005B2005">
        <w:rPr>
          <w:sz w:val="28"/>
          <w:szCs w:val="28"/>
        </w:rPr>
        <w:t>- не должно превышать по каждому году размер средств бюджета</w:t>
      </w:r>
      <w:r w:rsidR="006C00BF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>, предусмотренный в последнем году на финансовое обеспечение реализации</w:t>
      </w:r>
      <w:proofErr w:type="gramEnd"/>
      <w:r w:rsidRPr="005B2005">
        <w:rPr>
          <w:sz w:val="28"/>
          <w:szCs w:val="28"/>
        </w:rPr>
        <w:t xml:space="preserve"> </w:t>
      </w:r>
      <w:r w:rsidR="006C00BF" w:rsidRPr="005B2005">
        <w:rPr>
          <w:sz w:val="28"/>
          <w:szCs w:val="28"/>
        </w:rPr>
        <w:t>муниципаль</w:t>
      </w:r>
      <w:r w:rsidR="004238A5">
        <w:rPr>
          <w:sz w:val="28"/>
          <w:szCs w:val="28"/>
        </w:rPr>
        <w:t>ной программы.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B2005">
        <w:rPr>
          <w:sz w:val="28"/>
          <w:szCs w:val="28"/>
        </w:rPr>
        <w:t>В случае превышения годового размера средств бюджета</w:t>
      </w:r>
      <w:r w:rsidR="006C00BF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 xml:space="preserve"> на оплату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ного контракта (на предоставление субсидии) над размером средств бюджета</w:t>
      </w:r>
      <w:r w:rsidR="006C00BF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 xml:space="preserve">, предусмотренным на реализацию соответствующего мероприятия (результата) структурного элемента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ной программы в соответствующем году реализации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ной программы, одновременно с проектом Решения представляются предложения о перераспределении объема бюджетных ассигнований на соответствующее мероприятие (результат) структурного элемента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ной программы с иных мероприятий (результатов) структурных</w:t>
      </w:r>
      <w:proofErr w:type="gramEnd"/>
      <w:r w:rsidRPr="005B2005">
        <w:rPr>
          <w:sz w:val="28"/>
          <w:szCs w:val="28"/>
        </w:rPr>
        <w:t xml:space="preserve"> элементов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ной программы с обязательством недопущения при реализации таких мероприятий (результатов) возникновения кредиторской задолженности и (или) потребности выделения дополни</w:t>
      </w:r>
      <w:r w:rsidR="004238A5">
        <w:rPr>
          <w:sz w:val="28"/>
          <w:szCs w:val="28"/>
        </w:rPr>
        <w:t>тельных бюджетных ассигнований;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p4"/>
      <w:bookmarkEnd w:id="11"/>
      <w:r w:rsidRPr="005B2005">
        <w:rPr>
          <w:sz w:val="28"/>
          <w:szCs w:val="28"/>
        </w:rPr>
        <w:lastRenderedPageBreak/>
        <w:t xml:space="preserve">в) распределение предполагаемого (предельного) размера средств на оплату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ного контракта (на предоставление субсидии) в рамках непрограммных направлений деятельности не должно превышать за пределами планового периода (по каждому году) годовой размер средств бюджета </w:t>
      </w:r>
      <w:r w:rsidR="006C00BF" w:rsidRPr="005B2005">
        <w:rPr>
          <w:sz w:val="28"/>
          <w:szCs w:val="28"/>
        </w:rPr>
        <w:t xml:space="preserve">округа </w:t>
      </w:r>
      <w:r w:rsidRPr="005B2005">
        <w:rPr>
          <w:sz w:val="28"/>
          <w:szCs w:val="28"/>
        </w:rPr>
        <w:t xml:space="preserve">на оплату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ного контракта (на предоставление субсидии), предусмотренный на эти цели во</w:t>
      </w:r>
      <w:r w:rsidR="00BC1CF0">
        <w:rPr>
          <w:sz w:val="28"/>
          <w:szCs w:val="28"/>
        </w:rPr>
        <w:t xml:space="preserve"> втором году планового периода;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B2005">
        <w:rPr>
          <w:sz w:val="28"/>
          <w:szCs w:val="28"/>
        </w:rPr>
        <w:t>г) распределение предполагаемого (предельного) размера средств бюджета</w:t>
      </w:r>
      <w:r w:rsidR="006C00BF" w:rsidRPr="005B2005">
        <w:rPr>
          <w:sz w:val="28"/>
          <w:szCs w:val="28"/>
        </w:rPr>
        <w:t xml:space="preserve"> округа</w:t>
      </w:r>
      <w:r w:rsidRPr="005B2005">
        <w:rPr>
          <w:sz w:val="28"/>
          <w:szCs w:val="28"/>
        </w:rPr>
        <w:t xml:space="preserve"> на оплату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 xml:space="preserve">ного контракта (на предоставление субсидии), превышающее размер средств и (или) сроки, определенные </w:t>
      </w:r>
      <w:hyperlink w:anchor="p2" w:history="1">
        <w:r w:rsidR="005B2005">
          <w:rPr>
            <w:rStyle w:val="a7"/>
            <w:color w:val="auto"/>
            <w:sz w:val="28"/>
            <w:szCs w:val="28"/>
            <w:u w:val="none"/>
          </w:rPr>
          <w:t xml:space="preserve">абзацем первым подпункта </w:t>
        </w:r>
        <w:r w:rsidRPr="005B2005">
          <w:rPr>
            <w:rStyle w:val="a7"/>
            <w:color w:val="auto"/>
            <w:sz w:val="28"/>
            <w:szCs w:val="28"/>
            <w:u w:val="none"/>
          </w:rPr>
          <w:t>б</w:t>
        </w:r>
        <w:r w:rsidR="005B2005">
          <w:rPr>
            <w:rStyle w:val="a7"/>
            <w:color w:val="auto"/>
            <w:sz w:val="28"/>
            <w:szCs w:val="28"/>
            <w:u w:val="none"/>
          </w:rPr>
          <w:t>)</w:t>
        </w:r>
      </w:hyperlink>
      <w:r w:rsidRPr="005B2005">
        <w:rPr>
          <w:sz w:val="28"/>
          <w:szCs w:val="28"/>
        </w:rPr>
        <w:t xml:space="preserve"> и </w:t>
      </w:r>
      <w:hyperlink w:anchor="p4" w:history="1">
        <w:r w:rsidRPr="005B2005">
          <w:rPr>
            <w:rStyle w:val="a7"/>
            <w:color w:val="auto"/>
            <w:sz w:val="28"/>
            <w:szCs w:val="28"/>
            <w:u w:val="none"/>
          </w:rPr>
          <w:t>подпунктом в</w:t>
        </w:r>
      </w:hyperlink>
      <w:r w:rsidR="005B2005">
        <w:rPr>
          <w:sz w:val="28"/>
          <w:szCs w:val="28"/>
        </w:rPr>
        <w:t>)</w:t>
      </w:r>
      <w:r w:rsidRPr="005B2005">
        <w:rPr>
          <w:sz w:val="28"/>
          <w:szCs w:val="28"/>
        </w:rPr>
        <w:t xml:space="preserve"> настоящего пункта, включается в проект распоряжения </w:t>
      </w:r>
      <w:r w:rsidR="006C00BF" w:rsidRPr="005B2005">
        <w:rPr>
          <w:sz w:val="28"/>
          <w:szCs w:val="28"/>
        </w:rPr>
        <w:t xml:space="preserve">Администрации муниципального округа Навашинский </w:t>
      </w:r>
      <w:r w:rsidRPr="005B2005">
        <w:rPr>
          <w:sz w:val="28"/>
          <w:szCs w:val="28"/>
        </w:rPr>
        <w:t>при отражении в пояснительной записке к нему информации об источниках финансового обеспеч</w:t>
      </w:r>
      <w:r w:rsidR="00BC1CF0">
        <w:rPr>
          <w:sz w:val="28"/>
          <w:szCs w:val="28"/>
        </w:rPr>
        <w:t>ения такого превышения за счет:</w:t>
      </w:r>
      <w:proofErr w:type="gramEnd"/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2005">
        <w:rPr>
          <w:sz w:val="28"/>
          <w:szCs w:val="28"/>
        </w:rPr>
        <w:t xml:space="preserve">перераспределения бюджетных ассигнований, предусмотренных на реализацию иных </w:t>
      </w:r>
      <w:r w:rsidR="006C00BF" w:rsidRPr="005B2005">
        <w:rPr>
          <w:sz w:val="28"/>
          <w:szCs w:val="28"/>
        </w:rPr>
        <w:t>муниципаль</w:t>
      </w:r>
      <w:r w:rsidRPr="005B2005">
        <w:rPr>
          <w:sz w:val="28"/>
          <w:szCs w:val="28"/>
        </w:rPr>
        <w:t>ных программ и (или) мероприятий непрогра</w:t>
      </w:r>
      <w:r w:rsidR="00BC1CF0">
        <w:rPr>
          <w:sz w:val="28"/>
          <w:szCs w:val="28"/>
        </w:rPr>
        <w:t>ммных направлений деятельности;</w:t>
      </w:r>
    </w:p>
    <w:p w:rsidR="00AE5A3F" w:rsidRPr="005B2005" w:rsidRDefault="00AE5A3F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2005">
        <w:rPr>
          <w:sz w:val="28"/>
          <w:szCs w:val="28"/>
        </w:rPr>
        <w:t>выделения дополнительных бюджетных ассигнований с указанием предполагаемых источников их финансового обеспе</w:t>
      </w:r>
      <w:r w:rsidR="00BC1CF0">
        <w:rPr>
          <w:sz w:val="28"/>
          <w:szCs w:val="28"/>
        </w:rPr>
        <w:t>чения.</w:t>
      </w:r>
    </w:p>
    <w:p w:rsidR="005B2005" w:rsidRPr="005B2005" w:rsidRDefault="00E323A2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D81">
        <w:rPr>
          <w:sz w:val="28"/>
          <w:szCs w:val="28"/>
        </w:rPr>
        <w:t>2.4.</w:t>
      </w:r>
      <w:r>
        <w:rPr>
          <w:sz w:val="28"/>
          <w:szCs w:val="28"/>
        </w:rPr>
        <w:t> </w:t>
      </w:r>
      <w:r w:rsidR="005B2005" w:rsidRPr="005B2005">
        <w:rPr>
          <w:sz w:val="28"/>
          <w:szCs w:val="28"/>
        </w:rPr>
        <w:t xml:space="preserve">Главный распорядитель средств бюджета округа обеспечивает согласование проекта распоряжения Администрации муниципального округа Навашинский </w:t>
      </w:r>
      <w:r w:rsidR="005B2005">
        <w:rPr>
          <w:sz w:val="28"/>
          <w:szCs w:val="28"/>
        </w:rPr>
        <w:t xml:space="preserve">с заинтересованными </w:t>
      </w:r>
      <w:r w:rsidR="005B2005" w:rsidRPr="005B2005">
        <w:rPr>
          <w:sz w:val="28"/>
          <w:szCs w:val="28"/>
        </w:rPr>
        <w:t>структурными подразделениями</w:t>
      </w:r>
      <w:r w:rsidR="005B2005">
        <w:rPr>
          <w:sz w:val="28"/>
          <w:szCs w:val="28"/>
        </w:rPr>
        <w:t xml:space="preserve"> </w:t>
      </w:r>
      <w:r w:rsidR="005B2005" w:rsidRPr="005B2005">
        <w:rPr>
          <w:sz w:val="28"/>
          <w:szCs w:val="28"/>
        </w:rPr>
        <w:t>Администрации муниципального округа Навашинский, а также с правовым отделом и Управлением финансов Администрации муниципального округа Навашинский.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323A2" w:rsidRPr="00CA2D81">
        <w:rPr>
          <w:sz w:val="28"/>
          <w:szCs w:val="28"/>
        </w:rPr>
        <w:t>.</w:t>
      </w:r>
      <w:r w:rsidR="00533113">
        <w:t> </w:t>
      </w:r>
      <w:r w:rsidRPr="00533113">
        <w:rPr>
          <w:sz w:val="28"/>
          <w:szCs w:val="28"/>
        </w:rPr>
        <w:t>К проекту распоряжения Администрации муниципального округа Навашинский прилагаются: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>1) пояснительная записка, которая должн</w:t>
      </w:r>
      <w:r w:rsidR="00BC1CF0">
        <w:rPr>
          <w:sz w:val="28"/>
          <w:szCs w:val="28"/>
        </w:rPr>
        <w:t>а содержать следующие сведения: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 xml:space="preserve">а) обоснование необходимости принятия расходных обязательств получателем средств бюджета округа путем заключения муниципальных контрактов, соглашений (договоров), предусматривающих возникновение расходных обязательств бюджета округа на срок, превышающий срок действия утвержденных </w:t>
      </w:r>
      <w:r w:rsidR="00BC1CF0">
        <w:rPr>
          <w:sz w:val="28"/>
          <w:szCs w:val="28"/>
        </w:rPr>
        <w:t>лимитов бюджетных обязательств;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>б)</w:t>
      </w:r>
      <w:r w:rsidR="00533113">
        <w:rPr>
          <w:sz w:val="28"/>
          <w:szCs w:val="28"/>
        </w:rPr>
        <w:t> </w:t>
      </w:r>
      <w:r w:rsidRPr="00533113">
        <w:rPr>
          <w:sz w:val="28"/>
          <w:szCs w:val="28"/>
        </w:rPr>
        <w:t xml:space="preserve">обоснование (расчет) распределения предполагаемого (предельного) размера средств бюджета округа для осуществления закупок, предоставления субсидий </w:t>
      </w:r>
      <w:r w:rsidR="00BC1CF0">
        <w:rPr>
          <w:sz w:val="28"/>
          <w:szCs w:val="28"/>
        </w:rPr>
        <w:t>за пределами планового периода;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>в)</w:t>
      </w:r>
      <w:r w:rsidR="00533113">
        <w:rPr>
          <w:sz w:val="28"/>
          <w:szCs w:val="28"/>
        </w:rPr>
        <w:t> </w:t>
      </w:r>
      <w:r w:rsidRPr="00533113">
        <w:rPr>
          <w:sz w:val="28"/>
          <w:szCs w:val="28"/>
        </w:rPr>
        <w:t xml:space="preserve">информацию о предполагаемых источниках финансового обеспечения осуществления закупок, предоставления субсидий в текущем финансовом году и плановом периоде, а также </w:t>
      </w:r>
      <w:r w:rsidR="00BC1CF0">
        <w:rPr>
          <w:sz w:val="28"/>
          <w:szCs w:val="28"/>
        </w:rPr>
        <w:t>за пределами планового периода;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>г)</w:t>
      </w:r>
      <w:r w:rsidR="00533113">
        <w:rPr>
          <w:sz w:val="28"/>
          <w:szCs w:val="28"/>
        </w:rPr>
        <w:t> </w:t>
      </w:r>
      <w:r w:rsidRPr="00533113">
        <w:rPr>
          <w:sz w:val="28"/>
          <w:szCs w:val="28"/>
        </w:rPr>
        <w:t xml:space="preserve">информацию о предполагаемых источниках финансового обеспечения превышения размера средств и (или) сроков, определенных </w:t>
      </w:r>
      <w:hyperlink r:id="rId20" w:history="1">
        <w:r w:rsidRPr="00533113">
          <w:rPr>
            <w:rStyle w:val="a7"/>
            <w:color w:val="auto"/>
            <w:sz w:val="28"/>
            <w:szCs w:val="28"/>
            <w:u w:val="none"/>
          </w:rPr>
          <w:t xml:space="preserve">абзацем первым подпункта </w:t>
        </w:r>
        <w:r w:rsidR="00BC1CF0">
          <w:rPr>
            <w:rStyle w:val="a7"/>
            <w:color w:val="auto"/>
            <w:sz w:val="28"/>
            <w:szCs w:val="28"/>
            <w:u w:val="none"/>
          </w:rPr>
          <w:t>«</w:t>
        </w:r>
        <w:r w:rsidRPr="00533113">
          <w:rPr>
            <w:rStyle w:val="a7"/>
            <w:color w:val="auto"/>
            <w:sz w:val="28"/>
            <w:szCs w:val="28"/>
            <w:u w:val="none"/>
          </w:rPr>
          <w:t>б</w:t>
        </w:r>
      </w:hyperlink>
      <w:r w:rsidR="00BC1CF0">
        <w:rPr>
          <w:rStyle w:val="a7"/>
          <w:color w:val="auto"/>
          <w:sz w:val="28"/>
          <w:szCs w:val="28"/>
          <w:u w:val="none"/>
        </w:rPr>
        <w:t>»</w:t>
      </w:r>
      <w:r w:rsidRPr="00533113">
        <w:rPr>
          <w:sz w:val="28"/>
          <w:szCs w:val="28"/>
        </w:rPr>
        <w:t xml:space="preserve"> и </w:t>
      </w:r>
      <w:hyperlink r:id="rId21" w:history="1">
        <w:r w:rsidRPr="00533113">
          <w:rPr>
            <w:rStyle w:val="a7"/>
            <w:color w:val="auto"/>
            <w:sz w:val="28"/>
            <w:szCs w:val="28"/>
            <w:u w:val="none"/>
          </w:rPr>
          <w:t xml:space="preserve">подпунктом </w:t>
        </w:r>
        <w:r w:rsidR="00BC1CF0">
          <w:rPr>
            <w:rStyle w:val="a7"/>
            <w:color w:val="auto"/>
            <w:sz w:val="28"/>
            <w:szCs w:val="28"/>
            <w:u w:val="none"/>
          </w:rPr>
          <w:t>«</w:t>
        </w:r>
        <w:r w:rsidRPr="00533113">
          <w:rPr>
            <w:rStyle w:val="a7"/>
            <w:color w:val="auto"/>
            <w:sz w:val="28"/>
            <w:szCs w:val="28"/>
            <w:u w:val="none"/>
          </w:rPr>
          <w:t>в</w:t>
        </w:r>
        <w:r w:rsidR="00BC1CF0">
          <w:rPr>
            <w:rStyle w:val="a7"/>
            <w:color w:val="auto"/>
            <w:sz w:val="28"/>
            <w:szCs w:val="28"/>
            <w:u w:val="none"/>
          </w:rPr>
          <w:t>»</w:t>
        </w:r>
        <w:r w:rsidRPr="00533113">
          <w:rPr>
            <w:rStyle w:val="a7"/>
            <w:color w:val="auto"/>
            <w:sz w:val="28"/>
            <w:szCs w:val="28"/>
            <w:u w:val="none"/>
          </w:rPr>
          <w:t xml:space="preserve"> пункта 2.3</w:t>
        </w:r>
      </w:hyperlink>
      <w:r w:rsidRPr="00533113">
        <w:rPr>
          <w:sz w:val="28"/>
          <w:szCs w:val="28"/>
        </w:rPr>
        <w:t xml:space="preserve"> настоящ</w:t>
      </w:r>
      <w:r w:rsidR="00533113" w:rsidRPr="00533113">
        <w:rPr>
          <w:sz w:val="28"/>
          <w:szCs w:val="28"/>
        </w:rPr>
        <w:t>его</w:t>
      </w:r>
      <w:r w:rsidRPr="00533113">
        <w:rPr>
          <w:sz w:val="28"/>
          <w:szCs w:val="28"/>
        </w:rPr>
        <w:t xml:space="preserve"> П</w:t>
      </w:r>
      <w:r w:rsidR="00533113" w:rsidRPr="00533113">
        <w:rPr>
          <w:sz w:val="28"/>
          <w:szCs w:val="28"/>
        </w:rPr>
        <w:t>орядка</w:t>
      </w:r>
      <w:r w:rsidRPr="00533113">
        <w:rPr>
          <w:sz w:val="28"/>
          <w:szCs w:val="28"/>
        </w:rPr>
        <w:t xml:space="preserve"> (для случаев, установленных </w:t>
      </w:r>
      <w:hyperlink r:id="rId22" w:history="1">
        <w:r w:rsidRPr="00533113">
          <w:rPr>
            <w:rStyle w:val="a7"/>
            <w:color w:val="auto"/>
            <w:sz w:val="28"/>
            <w:szCs w:val="28"/>
            <w:u w:val="none"/>
          </w:rPr>
          <w:t>подпунк</w:t>
        </w:r>
        <w:r w:rsidR="00BC1CF0">
          <w:rPr>
            <w:rStyle w:val="a7"/>
            <w:color w:val="auto"/>
            <w:sz w:val="28"/>
            <w:szCs w:val="28"/>
            <w:u w:val="none"/>
          </w:rPr>
          <w:t>том «</w:t>
        </w:r>
        <w:r w:rsidRPr="00533113">
          <w:rPr>
            <w:rStyle w:val="a7"/>
            <w:color w:val="auto"/>
            <w:sz w:val="28"/>
            <w:szCs w:val="28"/>
            <w:u w:val="none"/>
          </w:rPr>
          <w:t>г</w:t>
        </w:r>
        <w:r w:rsidR="00BC1CF0">
          <w:rPr>
            <w:rStyle w:val="a7"/>
            <w:color w:val="auto"/>
            <w:sz w:val="28"/>
            <w:szCs w:val="28"/>
            <w:u w:val="none"/>
          </w:rPr>
          <w:t>»</w:t>
        </w:r>
        <w:r w:rsidRPr="00533113">
          <w:rPr>
            <w:rStyle w:val="a7"/>
            <w:color w:val="auto"/>
            <w:sz w:val="28"/>
            <w:szCs w:val="28"/>
            <w:u w:val="none"/>
          </w:rPr>
          <w:t xml:space="preserve"> пункта 2.3</w:t>
        </w:r>
      </w:hyperlink>
      <w:r w:rsidRPr="00533113">
        <w:rPr>
          <w:sz w:val="28"/>
          <w:szCs w:val="28"/>
        </w:rPr>
        <w:t xml:space="preserve"> настоящ</w:t>
      </w:r>
      <w:r w:rsidR="00533113">
        <w:rPr>
          <w:sz w:val="28"/>
          <w:szCs w:val="28"/>
        </w:rPr>
        <w:t>его</w:t>
      </w:r>
      <w:r w:rsidRPr="00533113">
        <w:rPr>
          <w:sz w:val="28"/>
          <w:szCs w:val="28"/>
        </w:rPr>
        <w:t xml:space="preserve"> П</w:t>
      </w:r>
      <w:r w:rsidR="00533113">
        <w:rPr>
          <w:sz w:val="28"/>
          <w:szCs w:val="28"/>
        </w:rPr>
        <w:t>о</w:t>
      </w:r>
      <w:r w:rsidRPr="00533113">
        <w:rPr>
          <w:sz w:val="28"/>
          <w:szCs w:val="28"/>
        </w:rPr>
        <w:t>р</w:t>
      </w:r>
      <w:r w:rsidR="00533113">
        <w:rPr>
          <w:sz w:val="28"/>
          <w:szCs w:val="28"/>
        </w:rPr>
        <w:t>ядка</w:t>
      </w:r>
      <w:r w:rsidR="00BC1CF0">
        <w:rPr>
          <w:sz w:val="28"/>
          <w:szCs w:val="28"/>
        </w:rPr>
        <w:t>);</w:t>
      </w:r>
    </w:p>
    <w:p w:rsidR="005B2005" w:rsidRPr="00533113" w:rsidRDefault="005B2005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13">
        <w:rPr>
          <w:sz w:val="28"/>
          <w:szCs w:val="28"/>
        </w:rPr>
        <w:t>2) финан</w:t>
      </w:r>
      <w:r w:rsidR="00BC1CF0">
        <w:rPr>
          <w:sz w:val="28"/>
          <w:szCs w:val="28"/>
        </w:rPr>
        <w:t>сово-экономическое обоснование;</w:t>
      </w:r>
    </w:p>
    <w:p w:rsidR="005B2005" w:rsidRDefault="00533113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005" w:rsidRPr="00533113">
        <w:rPr>
          <w:sz w:val="28"/>
          <w:szCs w:val="28"/>
        </w:rPr>
        <w:t xml:space="preserve">перечень правовых актов </w:t>
      </w:r>
      <w:r>
        <w:rPr>
          <w:sz w:val="28"/>
          <w:szCs w:val="28"/>
        </w:rPr>
        <w:t>муниципального округа Навашинский</w:t>
      </w:r>
      <w:r w:rsidR="005B2005" w:rsidRPr="00533113">
        <w:rPr>
          <w:sz w:val="28"/>
          <w:szCs w:val="28"/>
        </w:rPr>
        <w:t xml:space="preserve">, подлежащих признанию </w:t>
      </w:r>
      <w:proofErr w:type="gramStart"/>
      <w:r w:rsidR="005B2005" w:rsidRPr="00533113">
        <w:rPr>
          <w:sz w:val="28"/>
          <w:szCs w:val="28"/>
        </w:rPr>
        <w:t>утратившими</w:t>
      </w:r>
      <w:proofErr w:type="gramEnd"/>
      <w:r w:rsidR="005B2005" w:rsidRPr="00533113">
        <w:rPr>
          <w:sz w:val="28"/>
          <w:szCs w:val="28"/>
        </w:rPr>
        <w:t xml:space="preserve"> силу, приостановлению, изменению или </w:t>
      </w:r>
      <w:r w:rsidR="005B2005" w:rsidRPr="00533113">
        <w:rPr>
          <w:sz w:val="28"/>
          <w:szCs w:val="28"/>
        </w:rPr>
        <w:lastRenderedPageBreak/>
        <w:t xml:space="preserve">принятию в связи с принятием распоряжения </w:t>
      </w:r>
      <w:r w:rsidRPr="005B2005">
        <w:rPr>
          <w:sz w:val="28"/>
          <w:szCs w:val="28"/>
        </w:rPr>
        <w:t>Администрации муниципального округа Навашинский</w:t>
      </w:r>
      <w:r w:rsidR="005B2005" w:rsidRPr="00533113">
        <w:rPr>
          <w:sz w:val="28"/>
          <w:szCs w:val="28"/>
        </w:rPr>
        <w:t xml:space="preserve">. </w:t>
      </w:r>
    </w:p>
    <w:p w:rsidR="005A1F44" w:rsidRPr="005A1F44" w:rsidRDefault="005A1F44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44">
        <w:rPr>
          <w:sz w:val="28"/>
          <w:szCs w:val="28"/>
        </w:rPr>
        <w:t xml:space="preserve">2.6. Обязательным условием согласования проекта распоряжения Администрации муниципального округа Навашинский Управлением финансов Администрации муниципального округа Навашинский является соблюдение требований, установленных </w:t>
      </w:r>
      <w:hyperlink r:id="rId23" w:history="1">
        <w:r w:rsidRPr="005A1F44">
          <w:rPr>
            <w:rStyle w:val="a7"/>
            <w:color w:val="auto"/>
            <w:sz w:val="28"/>
            <w:szCs w:val="28"/>
            <w:u w:val="none"/>
          </w:rPr>
          <w:t>пунктами 2.2</w:t>
        </w:r>
      </w:hyperlink>
      <w:r w:rsidRPr="005A1F44">
        <w:rPr>
          <w:sz w:val="28"/>
          <w:szCs w:val="28"/>
        </w:rPr>
        <w:t xml:space="preserve"> и </w:t>
      </w:r>
      <w:hyperlink r:id="rId24" w:history="1">
        <w:r w:rsidRPr="005A1F44">
          <w:rPr>
            <w:rStyle w:val="a7"/>
            <w:color w:val="auto"/>
            <w:sz w:val="28"/>
            <w:szCs w:val="28"/>
            <w:u w:val="none"/>
          </w:rPr>
          <w:t>2.3</w:t>
        </w:r>
      </w:hyperlink>
      <w:r w:rsidRPr="005A1F44">
        <w:rPr>
          <w:sz w:val="28"/>
          <w:szCs w:val="28"/>
        </w:rPr>
        <w:t xml:space="preserve"> настоящего Порядка.</w:t>
      </w:r>
    </w:p>
    <w:p w:rsidR="005A1F44" w:rsidRPr="005A1F44" w:rsidRDefault="005A1F44" w:rsidP="00B62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44">
        <w:rPr>
          <w:sz w:val="28"/>
          <w:szCs w:val="28"/>
        </w:rPr>
        <w:t>2.7. Принятие Администрацией муниципального округа Навашинский решений об изменении условий муниципальных контрактов, соглашений (договоров), определенных Решениями (в том числе принятыми до вступления в силу настоящего Порядка), осуществляется в соответствии с законодательством Российской Федерации в порядке, предусмотренном пунктами 2.1, 2.3 - 2.6 настоящего раздела.</w:t>
      </w:r>
    </w:p>
    <w:p w:rsidR="005A1F44" w:rsidRDefault="005A1F44" w:rsidP="00B62EA8">
      <w:pPr>
        <w:pStyle w:val="a6"/>
        <w:spacing w:before="0" w:beforeAutospacing="0" w:after="0" w:afterAutospacing="0"/>
        <w:ind w:firstLine="709"/>
        <w:jc w:val="both"/>
      </w:pPr>
    </w:p>
    <w:p w:rsidR="005A1F44" w:rsidRPr="00533113" w:rsidRDefault="005A1F44" w:rsidP="0053311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Default="00E323A2" w:rsidP="00E3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</w:p>
    <w:p w:rsidR="00E323A2" w:rsidRDefault="00E323A2" w:rsidP="00E323A2">
      <w:pPr>
        <w:jc w:val="center"/>
        <w:rPr>
          <w:b/>
          <w:sz w:val="28"/>
          <w:szCs w:val="28"/>
        </w:rPr>
      </w:pPr>
    </w:p>
    <w:sectPr w:rsidR="00E323A2" w:rsidSect="00CE287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88C"/>
    <w:multiLevelType w:val="multilevel"/>
    <w:tmpl w:val="70FE261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15EA3"/>
    <w:rsid w:val="000A01A7"/>
    <w:rsid w:val="001412DE"/>
    <w:rsid w:val="00150CA6"/>
    <w:rsid w:val="0015123A"/>
    <w:rsid w:val="00180CA7"/>
    <w:rsid w:val="00181AB4"/>
    <w:rsid w:val="001A3C4D"/>
    <w:rsid w:val="001C7363"/>
    <w:rsid w:val="001D3236"/>
    <w:rsid w:val="00227639"/>
    <w:rsid w:val="00255F52"/>
    <w:rsid w:val="00274F16"/>
    <w:rsid w:val="002B1C54"/>
    <w:rsid w:val="002F419C"/>
    <w:rsid w:val="003243C1"/>
    <w:rsid w:val="00367F7A"/>
    <w:rsid w:val="0038363C"/>
    <w:rsid w:val="003A5A35"/>
    <w:rsid w:val="003D386A"/>
    <w:rsid w:val="003E6197"/>
    <w:rsid w:val="00412FAF"/>
    <w:rsid w:val="00415175"/>
    <w:rsid w:val="004238A5"/>
    <w:rsid w:val="004417CD"/>
    <w:rsid w:val="0044423F"/>
    <w:rsid w:val="00451F15"/>
    <w:rsid w:val="00463C39"/>
    <w:rsid w:val="004D609A"/>
    <w:rsid w:val="004F7BCB"/>
    <w:rsid w:val="00503492"/>
    <w:rsid w:val="00533113"/>
    <w:rsid w:val="00555930"/>
    <w:rsid w:val="005A1F44"/>
    <w:rsid w:val="005A6CAD"/>
    <w:rsid w:val="005B2005"/>
    <w:rsid w:val="005B255B"/>
    <w:rsid w:val="005E30C8"/>
    <w:rsid w:val="00610374"/>
    <w:rsid w:val="0066385B"/>
    <w:rsid w:val="00671732"/>
    <w:rsid w:val="006A0FF2"/>
    <w:rsid w:val="006A27E8"/>
    <w:rsid w:val="006C00BF"/>
    <w:rsid w:val="00702EE5"/>
    <w:rsid w:val="0076489F"/>
    <w:rsid w:val="0077665D"/>
    <w:rsid w:val="007D7299"/>
    <w:rsid w:val="007F55BB"/>
    <w:rsid w:val="008161A4"/>
    <w:rsid w:val="00843735"/>
    <w:rsid w:val="008470AE"/>
    <w:rsid w:val="008C4058"/>
    <w:rsid w:val="009071A6"/>
    <w:rsid w:val="00921949"/>
    <w:rsid w:val="0095373B"/>
    <w:rsid w:val="009B6726"/>
    <w:rsid w:val="009D103A"/>
    <w:rsid w:val="009D6D94"/>
    <w:rsid w:val="009E794A"/>
    <w:rsid w:val="009F0323"/>
    <w:rsid w:val="00A21AB7"/>
    <w:rsid w:val="00A254EA"/>
    <w:rsid w:val="00A84CE6"/>
    <w:rsid w:val="00A85F9E"/>
    <w:rsid w:val="00AC39C5"/>
    <w:rsid w:val="00AE5A3F"/>
    <w:rsid w:val="00AF29B4"/>
    <w:rsid w:val="00AF4D79"/>
    <w:rsid w:val="00B0242A"/>
    <w:rsid w:val="00B25AC3"/>
    <w:rsid w:val="00B36CB5"/>
    <w:rsid w:val="00B4403E"/>
    <w:rsid w:val="00B53417"/>
    <w:rsid w:val="00B62EA8"/>
    <w:rsid w:val="00B741A3"/>
    <w:rsid w:val="00BA4EEA"/>
    <w:rsid w:val="00BC1CF0"/>
    <w:rsid w:val="00BE17DC"/>
    <w:rsid w:val="00BF21B8"/>
    <w:rsid w:val="00C43909"/>
    <w:rsid w:val="00C44410"/>
    <w:rsid w:val="00C6071F"/>
    <w:rsid w:val="00CA773A"/>
    <w:rsid w:val="00CD40DB"/>
    <w:rsid w:val="00CE287C"/>
    <w:rsid w:val="00D11FEF"/>
    <w:rsid w:val="00D21832"/>
    <w:rsid w:val="00D773BE"/>
    <w:rsid w:val="00D92468"/>
    <w:rsid w:val="00D97777"/>
    <w:rsid w:val="00DA7C39"/>
    <w:rsid w:val="00DC23FF"/>
    <w:rsid w:val="00DD1A84"/>
    <w:rsid w:val="00DD49E6"/>
    <w:rsid w:val="00DE1D59"/>
    <w:rsid w:val="00E323A2"/>
    <w:rsid w:val="00E3328F"/>
    <w:rsid w:val="00E406DA"/>
    <w:rsid w:val="00E466B0"/>
    <w:rsid w:val="00E624F4"/>
    <w:rsid w:val="00E7477A"/>
    <w:rsid w:val="00EC249E"/>
    <w:rsid w:val="00F202C2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  <w:style w:type="paragraph" w:customStyle="1" w:styleId="ConsPlusTitle">
    <w:name w:val="ConsPlusTitle"/>
    <w:rsid w:val="00E3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  <w:style w:type="paragraph" w:customStyle="1" w:styleId="ConsPlusTitle">
    <w:name w:val="ConsPlusTitle"/>
    <w:rsid w:val="00E3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99731621D02377E55CB3EC3172EA63D71B54FD3BCE3E67D19906173D7166746CC9D9F834C1778C1F465673D2B275B8B3993A089A0Fo20AK" TargetMode="External"/><Relationship Id="rId13" Type="http://schemas.openxmlformats.org/officeDocument/2006/relationships/hyperlink" Target="https://login.consultant.ru/link/?req=doc&amp;base=LAW&amp;n=495710&amp;dst=103575&amp;field=134&amp;date=26.03.2026" TargetMode="External"/><Relationship Id="rId18" Type="http://schemas.openxmlformats.org/officeDocument/2006/relationships/hyperlink" Target="https://login.consultant.ru/link/?req=doc&amp;base=LAW&amp;n=495710&amp;dst=7461&amp;field=134&amp;date=26.03.20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7&amp;n=324798&amp;dst=100049&amp;field=134&amp;date=27.03.202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5710&amp;dst=103395&amp;field=134&amp;date=26.03.2026" TargetMode="External"/><Relationship Id="rId17" Type="http://schemas.openxmlformats.org/officeDocument/2006/relationships/hyperlink" Target="https://login.consultant.ru/link/?req=doc&amp;base=LAW&amp;n=495710&amp;dst=7171&amp;field=134&amp;date=26.03.2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324798&amp;dst=100045&amp;field=134&amp;date=26.03.2026" TargetMode="External"/><Relationship Id="rId20" Type="http://schemas.openxmlformats.org/officeDocument/2006/relationships/hyperlink" Target="https://login.consultant.ru/link/?req=doc&amp;base=RLAW187&amp;n=324798&amp;dst=100047&amp;field=134&amp;date=27.03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710&amp;dst=103433&amp;field=134&amp;date=26.03.2026" TargetMode="External"/><Relationship Id="rId24" Type="http://schemas.openxmlformats.org/officeDocument/2006/relationships/hyperlink" Target="https://login.consultant.ru/link/?req=doc&amp;base=RLAW187&amp;n=324798&amp;dst=100045&amp;field=134&amp;date=27.03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324798&amp;dst=100049&amp;field=134&amp;date=26.03.2026" TargetMode="External"/><Relationship Id="rId23" Type="http://schemas.openxmlformats.org/officeDocument/2006/relationships/hyperlink" Target="https://login.consultant.ru/link/?req=doc&amp;base=RLAW187&amp;n=324798&amp;dst=100030&amp;field=134&amp;date=27.03.2026" TargetMode="External"/><Relationship Id="rId10" Type="http://schemas.openxmlformats.org/officeDocument/2006/relationships/hyperlink" Target="https://login.consultant.ru/link/?req=doc&amp;base=LAW&amp;n=495710&amp;dst=103433&amp;field=134&amp;date=26.03.2026" TargetMode="External"/><Relationship Id="rId19" Type="http://schemas.openxmlformats.org/officeDocument/2006/relationships/hyperlink" Target="https://login.consultant.ru/link/?req=doc&amp;base=LAW&amp;n=495710&amp;dst=7608&amp;field=134&amp;date=26.03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710&amp;dst=7610&amp;field=134&amp;date=26.03.2026" TargetMode="External"/><Relationship Id="rId14" Type="http://schemas.openxmlformats.org/officeDocument/2006/relationships/hyperlink" Target="https://login.consultant.ru/link/?req=doc&amp;base=LAW&amp;n=495710&amp;dst=7461&amp;field=134&amp;date=26.03.2026" TargetMode="External"/><Relationship Id="rId22" Type="http://schemas.openxmlformats.org/officeDocument/2006/relationships/hyperlink" Target="https://login.consultant.ru/link/?req=doc&amp;base=RLAW187&amp;n=324798&amp;dst=100050&amp;field=134&amp;date=27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37B0-9DA3-44CA-8858-D064203F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12</cp:revision>
  <cp:lastPrinted>2026-01-13T11:19:00Z</cp:lastPrinted>
  <dcterms:created xsi:type="dcterms:W3CDTF">2026-03-26T13:13:00Z</dcterms:created>
  <dcterms:modified xsi:type="dcterms:W3CDTF">2026-05-06T13:55:00Z</dcterms:modified>
</cp:coreProperties>
</file>